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4082E" w14:textId="31F4793F" w:rsidR="000F6E58" w:rsidRPr="001505DA" w:rsidRDefault="00586D28" w:rsidP="001505DA">
      <w:pPr>
        <w:jc w:val="center"/>
        <w:rPr>
          <w:rFonts w:ascii="Arial" w:hAnsi="Arial" w:cs="Arial"/>
          <w:b/>
          <w:bCs/>
          <w:sz w:val="24"/>
          <w:szCs w:val="24"/>
        </w:rPr>
      </w:pPr>
      <w:r>
        <w:rPr>
          <w:rFonts w:ascii="Arial" w:hAnsi="Arial" w:cs="Arial"/>
          <w:b/>
          <w:bCs/>
          <w:sz w:val="24"/>
          <w:szCs w:val="24"/>
        </w:rPr>
        <w:t>FAIRBANKS YOUTH ADVOCATES</w:t>
      </w:r>
    </w:p>
    <w:p w14:paraId="155F8D8C" w14:textId="5C06B810" w:rsidR="006A5210" w:rsidRDefault="00CF0C19" w:rsidP="004261E9">
      <w:pPr>
        <w:spacing w:after="0" w:line="360" w:lineRule="auto"/>
        <w:rPr>
          <w:rFonts w:ascii="Arial" w:hAnsi="Arial" w:cs="Arial"/>
          <w:b/>
          <w:bCs/>
          <w:sz w:val="24"/>
          <w:szCs w:val="24"/>
        </w:rPr>
      </w:pPr>
      <w:r>
        <w:rPr>
          <w:rFonts w:ascii="Arial" w:hAnsi="Arial" w:cs="Arial"/>
          <w:b/>
          <w:bCs/>
          <w:sz w:val="24"/>
          <w:szCs w:val="24"/>
        </w:rPr>
        <w:t>CLEARWATER MINISTRIES</w:t>
      </w:r>
    </w:p>
    <w:p w14:paraId="7DB6772B" w14:textId="5B9DE52A" w:rsidR="00CF0C19" w:rsidRDefault="00CF0C19" w:rsidP="004261E9">
      <w:pPr>
        <w:spacing w:after="0" w:line="360" w:lineRule="auto"/>
        <w:rPr>
          <w:rFonts w:ascii="Arial" w:hAnsi="Arial" w:cs="Arial"/>
          <w:bCs/>
          <w:sz w:val="24"/>
          <w:szCs w:val="24"/>
        </w:rPr>
      </w:pPr>
      <w:r>
        <w:rPr>
          <w:rFonts w:ascii="Arial" w:hAnsi="Arial" w:cs="Arial"/>
          <w:bCs/>
          <w:sz w:val="24"/>
          <w:szCs w:val="24"/>
        </w:rPr>
        <w:t xml:space="preserve">Clearwater Counseling began in 2006.  The counseling arm of Clearwater Ministries (Clearwater Counseling) continues to the present day. In 2008, Clearwater Counseling officially became Clearwater Ministries with a 501(c)(3) IRS designation.  Please review this link for details of the original intent of Clearwater Ministries. </w:t>
      </w:r>
    </w:p>
    <w:p w14:paraId="63636B85" w14:textId="536D6EAC" w:rsidR="00CF0C19" w:rsidRDefault="00CF0C19" w:rsidP="004261E9">
      <w:pPr>
        <w:spacing w:after="0" w:line="360" w:lineRule="auto"/>
        <w:rPr>
          <w:rFonts w:ascii="Arial" w:hAnsi="Arial" w:cs="Arial"/>
          <w:bCs/>
          <w:sz w:val="24"/>
          <w:szCs w:val="24"/>
        </w:rPr>
      </w:pPr>
      <w:hyperlink r:id="rId5" w:history="1">
        <w:r w:rsidRPr="006B1872">
          <w:rPr>
            <w:rStyle w:val="Hyperlink"/>
            <w:rFonts w:ascii="Arial" w:hAnsi="Arial" w:cs="Arial"/>
            <w:bCs/>
            <w:sz w:val="24"/>
            <w:szCs w:val="24"/>
          </w:rPr>
          <w:t>https://www.commerce.alaska.gov/c</w:t>
        </w:r>
        <w:r w:rsidRPr="006B1872">
          <w:rPr>
            <w:rStyle w:val="Hyperlink"/>
            <w:rFonts w:ascii="Arial" w:hAnsi="Arial" w:cs="Arial"/>
            <w:bCs/>
            <w:sz w:val="24"/>
            <w:szCs w:val="24"/>
          </w:rPr>
          <w:t>b</w:t>
        </w:r>
        <w:r w:rsidRPr="006B1872">
          <w:rPr>
            <w:rStyle w:val="Hyperlink"/>
            <w:rFonts w:ascii="Arial" w:hAnsi="Arial" w:cs="Arial"/>
            <w:bCs/>
            <w:sz w:val="24"/>
            <w:szCs w:val="24"/>
          </w:rPr>
          <w:t>p/main/search/entities</w:t>
        </w:r>
      </w:hyperlink>
      <w:r>
        <w:rPr>
          <w:rFonts w:ascii="Arial" w:hAnsi="Arial" w:cs="Arial"/>
          <w:bCs/>
          <w:sz w:val="24"/>
          <w:szCs w:val="24"/>
        </w:rPr>
        <w:t xml:space="preserve">   --search Fairbanks Youth Advocates</w:t>
      </w:r>
    </w:p>
    <w:p w14:paraId="31591338" w14:textId="77777777" w:rsidR="00CF0C19" w:rsidRDefault="00CF0C19" w:rsidP="004261E9">
      <w:pPr>
        <w:spacing w:after="0" w:line="360" w:lineRule="auto"/>
        <w:rPr>
          <w:rFonts w:ascii="Arial" w:hAnsi="Arial" w:cs="Arial"/>
          <w:bCs/>
          <w:sz w:val="24"/>
          <w:szCs w:val="24"/>
        </w:rPr>
      </w:pPr>
    </w:p>
    <w:p w14:paraId="6CA2D2DB" w14:textId="6E5A9267" w:rsidR="004261E9" w:rsidRDefault="00CF0C19" w:rsidP="004261E9">
      <w:pPr>
        <w:spacing w:after="0" w:line="360" w:lineRule="auto"/>
        <w:rPr>
          <w:rFonts w:ascii="Arial" w:hAnsi="Arial" w:cs="Arial"/>
          <w:b/>
          <w:bCs/>
          <w:sz w:val="24"/>
          <w:szCs w:val="24"/>
        </w:rPr>
      </w:pPr>
      <w:r>
        <w:rPr>
          <w:rFonts w:ascii="Arial" w:hAnsi="Arial" w:cs="Arial"/>
          <w:b/>
          <w:bCs/>
          <w:sz w:val="24"/>
          <w:szCs w:val="24"/>
        </w:rPr>
        <w:t>FAIRBANKS YOUTH ADVOCATES</w:t>
      </w:r>
    </w:p>
    <w:p w14:paraId="7CB2B1C3" w14:textId="1FB8BDB6" w:rsidR="00CF0C19" w:rsidRDefault="00CF0C19" w:rsidP="004261E9">
      <w:pPr>
        <w:spacing w:after="0" w:line="360" w:lineRule="auto"/>
        <w:rPr>
          <w:rFonts w:ascii="Arial" w:hAnsi="Arial" w:cs="Arial"/>
          <w:bCs/>
          <w:sz w:val="24"/>
          <w:szCs w:val="24"/>
        </w:rPr>
      </w:pPr>
      <w:r>
        <w:rPr>
          <w:rFonts w:ascii="Arial" w:hAnsi="Arial" w:cs="Arial"/>
          <w:bCs/>
          <w:sz w:val="24"/>
          <w:szCs w:val="24"/>
        </w:rPr>
        <w:t>In 2012, Clearwater Ministries officially changed its name to Fairbanks Youth Advocates.</w:t>
      </w:r>
      <w:r w:rsidR="00D20107">
        <w:rPr>
          <w:rFonts w:ascii="Arial" w:hAnsi="Arial" w:cs="Arial"/>
          <w:bCs/>
          <w:sz w:val="24"/>
          <w:szCs w:val="24"/>
        </w:rPr>
        <w:t xml:space="preserve"> Clearwater Counseling was still doing business in 2012, and The Door</w:t>
      </w:r>
      <w:r w:rsidR="001505DA">
        <w:rPr>
          <w:rFonts w:ascii="Arial" w:hAnsi="Arial" w:cs="Arial"/>
          <w:bCs/>
          <w:sz w:val="24"/>
          <w:szCs w:val="24"/>
        </w:rPr>
        <w:t xml:space="preserve"> began to take tangible shape: t</w:t>
      </w:r>
      <w:r w:rsidR="00D20107">
        <w:rPr>
          <w:rFonts w:ascii="Arial" w:hAnsi="Arial" w:cs="Arial"/>
          <w:bCs/>
          <w:sz w:val="24"/>
          <w:szCs w:val="24"/>
        </w:rPr>
        <w:t>he decision to use the 501(c)(3) designation, previously given to Clearwater Ministries now knows as FYA was made, a shelter was started in the basement of the Presbyterian Church, funding was researched</w:t>
      </w:r>
      <w:r w:rsidR="00FA7B93">
        <w:rPr>
          <w:rFonts w:ascii="Arial" w:hAnsi="Arial" w:cs="Arial"/>
          <w:bCs/>
          <w:sz w:val="24"/>
          <w:szCs w:val="24"/>
        </w:rPr>
        <w:t xml:space="preserve"> and secured</w:t>
      </w:r>
      <w:r w:rsidR="00D20107">
        <w:rPr>
          <w:rFonts w:ascii="Arial" w:hAnsi="Arial" w:cs="Arial"/>
          <w:bCs/>
          <w:sz w:val="24"/>
          <w:szCs w:val="24"/>
        </w:rPr>
        <w:t xml:space="preserve"> and properties were purchased, a block </w:t>
      </w:r>
      <w:r w:rsidR="0041339E">
        <w:rPr>
          <w:rFonts w:ascii="Arial" w:hAnsi="Arial" w:cs="Arial"/>
          <w:bCs/>
          <w:sz w:val="24"/>
          <w:szCs w:val="24"/>
        </w:rPr>
        <w:t>grant was secured, and in mid-</w:t>
      </w:r>
      <w:r w:rsidR="00D20107">
        <w:rPr>
          <w:rFonts w:ascii="Arial" w:hAnsi="Arial" w:cs="Arial"/>
          <w:bCs/>
          <w:sz w:val="24"/>
          <w:szCs w:val="24"/>
        </w:rPr>
        <w:t>2013 the building of The Door commenced at 138 10</w:t>
      </w:r>
      <w:r w:rsidR="00D20107" w:rsidRPr="00D20107">
        <w:rPr>
          <w:rFonts w:ascii="Arial" w:hAnsi="Arial" w:cs="Arial"/>
          <w:bCs/>
          <w:sz w:val="24"/>
          <w:szCs w:val="24"/>
          <w:vertAlign w:val="superscript"/>
        </w:rPr>
        <w:t>th</w:t>
      </w:r>
      <w:r w:rsidR="00D20107">
        <w:rPr>
          <w:rFonts w:ascii="Arial" w:hAnsi="Arial" w:cs="Arial"/>
          <w:bCs/>
          <w:sz w:val="24"/>
          <w:szCs w:val="24"/>
        </w:rPr>
        <w:t xml:space="preserve"> Ave.  The Door opened in 2014 and was licensed by the State of Alaska as a Residential Child Care Facility (licensing continues to the current).</w:t>
      </w:r>
    </w:p>
    <w:p w14:paraId="352093C0" w14:textId="77777777" w:rsidR="00D20107" w:rsidRDefault="00D20107" w:rsidP="004261E9">
      <w:pPr>
        <w:spacing w:after="0" w:line="360" w:lineRule="auto"/>
        <w:rPr>
          <w:rFonts w:ascii="Arial" w:hAnsi="Arial" w:cs="Arial"/>
          <w:bCs/>
          <w:sz w:val="24"/>
          <w:szCs w:val="24"/>
        </w:rPr>
      </w:pPr>
    </w:p>
    <w:p w14:paraId="1669C6DE" w14:textId="560198C2" w:rsidR="00D20107" w:rsidRDefault="00D20107" w:rsidP="004261E9">
      <w:pPr>
        <w:spacing w:after="0" w:line="360" w:lineRule="auto"/>
        <w:rPr>
          <w:rFonts w:ascii="Arial" w:hAnsi="Arial" w:cs="Arial"/>
          <w:bCs/>
          <w:sz w:val="24"/>
          <w:szCs w:val="24"/>
        </w:rPr>
      </w:pPr>
      <w:r>
        <w:rPr>
          <w:rFonts w:ascii="Arial" w:hAnsi="Arial" w:cs="Arial"/>
          <w:b/>
          <w:bCs/>
          <w:sz w:val="24"/>
          <w:szCs w:val="24"/>
        </w:rPr>
        <w:t xml:space="preserve">FYA, </w:t>
      </w:r>
      <w:r w:rsidR="00EB6968">
        <w:rPr>
          <w:rFonts w:ascii="Arial" w:hAnsi="Arial" w:cs="Arial"/>
          <w:b/>
          <w:bCs/>
          <w:sz w:val="24"/>
          <w:szCs w:val="24"/>
        </w:rPr>
        <w:t>THE DOOR</w:t>
      </w:r>
      <w:r>
        <w:rPr>
          <w:rFonts w:ascii="Arial" w:hAnsi="Arial" w:cs="Arial"/>
          <w:b/>
          <w:bCs/>
          <w:sz w:val="24"/>
          <w:szCs w:val="24"/>
        </w:rPr>
        <w:t xml:space="preserve">, </w:t>
      </w:r>
      <w:r w:rsidR="00EB6968">
        <w:rPr>
          <w:rFonts w:ascii="Arial" w:hAnsi="Arial" w:cs="Arial"/>
          <w:b/>
          <w:bCs/>
          <w:sz w:val="24"/>
          <w:szCs w:val="24"/>
        </w:rPr>
        <w:t>CLEARWATER COUNSELING: THE RELATIONSHIP</w:t>
      </w:r>
    </w:p>
    <w:p w14:paraId="5C661773" w14:textId="7AF97C1A" w:rsidR="00D20107" w:rsidRDefault="00D20107" w:rsidP="004261E9">
      <w:pPr>
        <w:spacing w:after="0" w:line="360" w:lineRule="auto"/>
        <w:rPr>
          <w:rFonts w:ascii="Arial" w:hAnsi="Arial" w:cs="Arial"/>
          <w:bCs/>
          <w:sz w:val="24"/>
          <w:szCs w:val="24"/>
        </w:rPr>
      </w:pPr>
      <w:r>
        <w:rPr>
          <w:rFonts w:ascii="Arial" w:hAnsi="Arial" w:cs="Arial"/>
          <w:bCs/>
          <w:sz w:val="24"/>
          <w:szCs w:val="24"/>
        </w:rPr>
        <w:t xml:space="preserve">Initially, the vision for FYA was ONE: The Door would be the physical structure </w:t>
      </w:r>
      <w:r w:rsidR="001505DA">
        <w:rPr>
          <w:rFonts w:ascii="Arial" w:hAnsi="Arial" w:cs="Arial"/>
          <w:bCs/>
          <w:sz w:val="24"/>
          <w:szCs w:val="24"/>
        </w:rPr>
        <w:t xml:space="preserve">where </w:t>
      </w:r>
      <w:r>
        <w:rPr>
          <w:rFonts w:ascii="Arial" w:hAnsi="Arial" w:cs="Arial"/>
          <w:bCs/>
          <w:sz w:val="24"/>
          <w:szCs w:val="24"/>
        </w:rPr>
        <w:t>homeless youth, ages 12-18, would be temporarily housed.  Clearwater Counseling would continue provide therapeutic care, counseling,</w:t>
      </w:r>
      <w:r w:rsidR="00EB6968">
        <w:rPr>
          <w:rFonts w:ascii="Arial" w:hAnsi="Arial" w:cs="Arial"/>
          <w:bCs/>
          <w:sz w:val="24"/>
          <w:szCs w:val="24"/>
        </w:rPr>
        <w:t xml:space="preserve"> and</w:t>
      </w:r>
      <w:r>
        <w:rPr>
          <w:rFonts w:ascii="Arial" w:hAnsi="Arial" w:cs="Arial"/>
          <w:bCs/>
          <w:sz w:val="24"/>
          <w:szCs w:val="24"/>
        </w:rPr>
        <w:t xml:space="preserve"> groups for both </w:t>
      </w:r>
      <w:r w:rsidR="001C378D">
        <w:rPr>
          <w:rFonts w:ascii="Arial" w:hAnsi="Arial" w:cs="Arial"/>
          <w:bCs/>
          <w:sz w:val="24"/>
          <w:szCs w:val="24"/>
        </w:rPr>
        <w:t xml:space="preserve">youth and families from </w:t>
      </w:r>
      <w:r>
        <w:rPr>
          <w:rFonts w:ascii="Arial" w:hAnsi="Arial" w:cs="Arial"/>
          <w:bCs/>
          <w:sz w:val="24"/>
          <w:szCs w:val="24"/>
        </w:rPr>
        <w:t xml:space="preserve">The Door and the general public.  However, this “ideal” never really occurred.  Instead, Clearwater Counseling became a financial revenue stream for The Door.  The primary counselor </w:t>
      </w:r>
      <w:r w:rsidR="00EB6968">
        <w:rPr>
          <w:rFonts w:ascii="Arial" w:hAnsi="Arial" w:cs="Arial"/>
          <w:bCs/>
          <w:sz w:val="24"/>
          <w:szCs w:val="24"/>
        </w:rPr>
        <w:t xml:space="preserve">for CC </w:t>
      </w:r>
      <w:r>
        <w:rPr>
          <w:rFonts w:ascii="Arial" w:hAnsi="Arial" w:cs="Arial"/>
          <w:bCs/>
          <w:sz w:val="24"/>
          <w:szCs w:val="24"/>
        </w:rPr>
        <w:t xml:space="preserve">was Dave Bates, and his areas of counseling included sexual addiction, </w:t>
      </w:r>
      <w:r w:rsidR="001C378D">
        <w:rPr>
          <w:rFonts w:ascii="Arial" w:hAnsi="Arial" w:cs="Arial"/>
          <w:bCs/>
          <w:sz w:val="24"/>
          <w:szCs w:val="24"/>
        </w:rPr>
        <w:t>couples’</w:t>
      </w:r>
      <w:r>
        <w:rPr>
          <w:rFonts w:ascii="Arial" w:hAnsi="Arial" w:cs="Arial"/>
          <w:bCs/>
          <w:sz w:val="24"/>
          <w:szCs w:val="24"/>
        </w:rPr>
        <w:t xml:space="preserve"> sexual therapy, </w:t>
      </w:r>
      <w:r w:rsidR="00FE613F">
        <w:rPr>
          <w:rFonts w:ascii="Arial" w:hAnsi="Arial" w:cs="Arial"/>
          <w:bCs/>
          <w:sz w:val="24"/>
          <w:szCs w:val="24"/>
        </w:rPr>
        <w:t>addiction</w:t>
      </w:r>
      <w:r>
        <w:rPr>
          <w:rFonts w:ascii="Arial" w:hAnsi="Arial" w:cs="Arial"/>
          <w:bCs/>
          <w:sz w:val="24"/>
          <w:szCs w:val="24"/>
        </w:rPr>
        <w:t xml:space="preserve"> treatment, </w:t>
      </w:r>
      <w:r w:rsidR="001C378D">
        <w:rPr>
          <w:rFonts w:ascii="Arial" w:hAnsi="Arial" w:cs="Arial"/>
          <w:bCs/>
          <w:sz w:val="24"/>
          <w:szCs w:val="24"/>
        </w:rPr>
        <w:t xml:space="preserve">PTSD, </w:t>
      </w:r>
      <w:r w:rsidR="0041339E">
        <w:rPr>
          <w:rFonts w:ascii="Arial" w:hAnsi="Arial" w:cs="Arial"/>
          <w:bCs/>
          <w:sz w:val="24"/>
          <w:szCs w:val="24"/>
        </w:rPr>
        <w:t xml:space="preserve">anger management, domestic violence groups, </w:t>
      </w:r>
      <w:r w:rsidR="00EB6968">
        <w:rPr>
          <w:rFonts w:ascii="Arial" w:hAnsi="Arial" w:cs="Arial"/>
          <w:bCs/>
          <w:sz w:val="24"/>
          <w:szCs w:val="24"/>
        </w:rPr>
        <w:t xml:space="preserve">depression, anxiety, etc. His treatment modalities included </w:t>
      </w:r>
      <w:r w:rsidR="001C378D">
        <w:rPr>
          <w:rFonts w:ascii="Arial" w:hAnsi="Arial" w:cs="Arial"/>
          <w:bCs/>
          <w:sz w:val="24"/>
          <w:szCs w:val="24"/>
        </w:rPr>
        <w:t>brain</w:t>
      </w:r>
      <w:r w:rsidR="001505DA">
        <w:rPr>
          <w:rFonts w:ascii="Arial" w:hAnsi="Arial" w:cs="Arial"/>
          <w:bCs/>
          <w:sz w:val="24"/>
          <w:szCs w:val="24"/>
        </w:rPr>
        <w:t xml:space="preserve"> </w:t>
      </w:r>
      <w:r w:rsidR="00FE613F">
        <w:rPr>
          <w:rFonts w:ascii="Arial" w:hAnsi="Arial" w:cs="Arial"/>
          <w:bCs/>
          <w:sz w:val="24"/>
          <w:szCs w:val="24"/>
        </w:rPr>
        <w:t>spotting</w:t>
      </w:r>
      <w:r w:rsidR="001C378D">
        <w:rPr>
          <w:rFonts w:ascii="Arial" w:hAnsi="Arial" w:cs="Arial"/>
          <w:bCs/>
          <w:sz w:val="24"/>
          <w:szCs w:val="24"/>
        </w:rPr>
        <w:t xml:space="preserve">, </w:t>
      </w:r>
      <w:r>
        <w:rPr>
          <w:rFonts w:ascii="Arial" w:hAnsi="Arial" w:cs="Arial"/>
          <w:bCs/>
          <w:sz w:val="24"/>
          <w:szCs w:val="24"/>
        </w:rPr>
        <w:t>cognitive behavior therapy</w:t>
      </w:r>
      <w:r w:rsidR="00EB6968">
        <w:rPr>
          <w:rFonts w:ascii="Arial" w:hAnsi="Arial" w:cs="Arial"/>
          <w:bCs/>
          <w:sz w:val="24"/>
          <w:szCs w:val="24"/>
        </w:rPr>
        <w:t>, and basic 12-step programming. Below is the gross revenue generated by Clearwater Counseling:</w:t>
      </w:r>
    </w:p>
    <w:p w14:paraId="3D793901" w14:textId="77777777" w:rsidR="00EB6968" w:rsidRDefault="00EB6968" w:rsidP="004261E9">
      <w:pPr>
        <w:spacing w:after="0" w:line="360" w:lineRule="auto"/>
        <w:rPr>
          <w:rFonts w:ascii="Arial" w:hAnsi="Arial" w:cs="Arial"/>
          <w:bCs/>
          <w:sz w:val="24"/>
          <w:szCs w:val="24"/>
        </w:rPr>
      </w:pPr>
    </w:p>
    <w:tbl>
      <w:tblPr>
        <w:tblStyle w:val="TableGrid"/>
        <w:tblW w:w="0" w:type="auto"/>
        <w:tblLook w:val="04A0" w:firstRow="1" w:lastRow="0" w:firstColumn="1" w:lastColumn="0" w:noHBand="0" w:noVBand="1"/>
      </w:tblPr>
      <w:tblGrid>
        <w:gridCol w:w="3116"/>
        <w:gridCol w:w="2549"/>
      </w:tblGrid>
      <w:tr w:rsidR="00EB6968" w:rsidRPr="000F6E58" w14:paraId="16B78DDA" w14:textId="77777777" w:rsidTr="00020BEF">
        <w:tc>
          <w:tcPr>
            <w:tcW w:w="3116" w:type="dxa"/>
            <w:shd w:val="clear" w:color="auto" w:fill="FFFFFF" w:themeFill="background1"/>
          </w:tcPr>
          <w:p w14:paraId="4632C082" w14:textId="77777777" w:rsidR="00EB6968" w:rsidRPr="000F6E58" w:rsidRDefault="00EB6968" w:rsidP="00020BEF">
            <w:pPr>
              <w:spacing w:line="360" w:lineRule="auto"/>
              <w:textAlignment w:val="baseline"/>
              <w:rPr>
                <w:rFonts w:ascii="Arial" w:hAnsi="Arial" w:cs="Arial"/>
                <w:b/>
                <w:bCs/>
                <w:sz w:val="24"/>
                <w:szCs w:val="24"/>
                <w:shd w:val="clear" w:color="auto" w:fill="FFFFFF"/>
              </w:rPr>
            </w:pPr>
            <w:r w:rsidRPr="000F6E58">
              <w:rPr>
                <w:rFonts w:ascii="Arial" w:hAnsi="Arial" w:cs="Arial"/>
                <w:b/>
                <w:bCs/>
                <w:sz w:val="24"/>
                <w:szCs w:val="24"/>
                <w:shd w:val="clear" w:color="auto" w:fill="FFFFFF"/>
              </w:rPr>
              <w:t>CALENDAR YEAR</w:t>
            </w:r>
          </w:p>
        </w:tc>
        <w:tc>
          <w:tcPr>
            <w:tcW w:w="2549" w:type="dxa"/>
            <w:shd w:val="clear" w:color="auto" w:fill="FFFFFF" w:themeFill="background1"/>
          </w:tcPr>
          <w:p w14:paraId="24100C60" w14:textId="77777777" w:rsidR="00EB6968" w:rsidRPr="000F6E58" w:rsidRDefault="00EB6968" w:rsidP="00020BEF">
            <w:pPr>
              <w:spacing w:line="360" w:lineRule="auto"/>
              <w:textAlignment w:val="baseline"/>
              <w:rPr>
                <w:rFonts w:ascii="Arial" w:hAnsi="Arial" w:cs="Arial"/>
                <w:b/>
                <w:bCs/>
                <w:sz w:val="24"/>
                <w:szCs w:val="24"/>
                <w:shd w:val="clear" w:color="auto" w:fill="FFFFFF"/>
              </w:rPr>
            </w:pPr>
            <w:r w:rsidRPr="000F6E58">
              <w:rPr>
                <w:rFonts w:ascii="Arial" w:hAnsi="Arial" w:cs="Arial"/>
                <w:b/>
                <w:bCs/>
                <w:sz w:val="24"/>
                <w:szCs w:val="24"/>
                <w:shd w:val="clear" w:color="auto" w:fill="FFFFFF"/>
              </w:rPr>
              <w:t>GROSS</w:t>
            </w:r>
          </w:p>
        </w:tc>
      </w:tr>
      <w:tr w:rsidR="00EB6968" w:rsidRPr="00C159C9" w14:paraId="4BADC1C6" w14:textId="77777777" w:rsidTr="00020BEF">
        <w:tc>
          <w:tcPr>
            <w:tcW w:w="3116" w:type="dxa"/>
          </w:tcPr>
          <w:p w14:paraId="1AC9A8E8" w14:textId="77777777" w:rsidR="00EB6968" w:rsidRPr="00C159C9" w:rsidRDefault="00EB6968" w:rsidP="00020BEF">
            <w:pPr>
              <w:spacing w:line="360" w:lineRule="auto"/>
              <w:textAlignment w:val="baseline"/>
              <w:rPr>
                <w:rFonts w:ascii="Arial" w:hAnsi="Arial" w:cs="Arial"/>
                <w:b/>
                <w:bCs/>
                <w:sz w:val="28"/>
                <w:szCs w:val="28"/>
                <w:shd w:val="clear" w:color="auto" w:fill="FFFFFF"/>
              </w:rPr>
            </w:pPr>
            <w:r w:rsidRPr="00C159C9">
              <w:rPr>
                <w:rFonts w:ascii="Arial" w:hAnsi="Arial" w:cs="Arial"/>
                <w:b/>
                <w:bCs/>
                <w:sz w:val="28"/>
                <w:szCs w:val="28"/>
                <w:shd w:val="clear" w:color="auto" w:fill="FFFFFF"/>
              </w:rPr>
              <w:t>201</w:t>
            </w:r>
            <w:r>
              <w:rPr>
                <w:rFonts w:ascii="Arial" w:hAnsi="Arial" w:cs="Arial"/>
                <w:b/>
                <w:bCs/>
                <w:sz w:val="28"/>
                <w:szCs w:val="28"/>
                <w:shd w:val="clear" w:color="auto" w:fill="FFFFFF"/>
              </w:rPr>
              <w:t>8</w:t>
            </w:r>
          </w:p>
        </w:tc>
        <w:tc>
          <w:tcPr>
            <w:tcW w:w="2549" w:type="dxa"/>
          </w:tcPr>
          <w:p w14:paraId="45619569" w14:textId="77777777" w:rsidR="00EB6968" w:rsidRPr="00C159C9" w:rsidRDefault="00EB6968" w:rsidP="00020BEF">
            <w:pPr>
              <w:spacing w:line="360" w:lineRule="auto"/>
              <w:textAlignment w:val="baseline"/>
              <w:rPr>
                <w:rFonts w:ascii="Arial" w:hAnsi="Arial" w:cs="Arial"/>
                <w:b/>
                <w:bCs/>
                <w:i/>
                <w:iCs/>
                <w:sz w:val="28"/>
                <w:szCs w:val="28"/>
                <w:shd w:val="clear" w:color="auto" w:fill="FFFFFF"/>
              </w:rPr>
            </w:pPr>
            <w:r w:rsidRPr="00C159C9">
              <w:rPr>
                <w:rFonts w:ascii="Arial" w:hAnsi="Arial" w:cs="Arial"/>
                <w:b/>
                <w:bCs/>
                <w:i/>
                <w:iCs/>
                <w:sz w:val="28"/>
                <w:szCs w:val="28"/>
                <w:shd w:val="clear" w:color="auto" w:fill="FFFFFF"/>
              </w:rPr>
              <w:t>254,764.76</w:t>
            </w:r>
          </w:p>
        </w:tc>
      </w:tr>
      <w:tr w:rsidR="00EB6968" w:rsidRPr="00C159C9" w14:paraId="0427CBB9" w14:textId="77777777" w:rsidTr="00020BEF">
        <w:tc>
          <w:tcPr>
            <w:tcW w:w="3116" w:type="dxa"/>
          </w:tcPr>
          <w:p w14:paraId="63EFA098" w14:textId="77777777" w:rsidR="00EB6968" w:rsidRPr="00C159C9" w:rsidRDefault="00EB6968" w:rsidP="00020BEF">
            <w:pPr>
              <w:spacing w:line="360" w:lineRule="auto"/>
              <w:textAlignment w:val="baseline"/>
              <w:rPr>
                <w:rFonts w:ascii="Arial" w:hAnsi="Arial" w:cs="Arial"/>
                <w:b/>
                <w:bCs/>
                <w:sz w:val="28"/>
                <w:szCs w:val="28"/>
                <w:shd w:val="clear" w:color="auto" w:fill="FFFFFF"/>
              </w:rPr>
            </w:pPr>
            <w:r w:rsidRPr="00C159C9">
              <w:rPr>
                <w:rFonts w:ascii="Arial" w:hAnsi="Arial" w:cs="Arial"/>
                <w:b/>
                <w:bCs/>
                <w:sz w:val="28"/>
                <w:szCs w:val="28"/>
                <w:shd w:val="clear" w:color="auto" w:fill="FFFFFF"/>
              </w:rPr>
              <w:t>201</w:t>
            </w:r>
            <w:r>
              <w:rPr>
                <w:rFonts w:ascii="Arial" w:hAnsi="Arial" w:cs="Arial"/>
                <w:b/>
                <w:bCs/>
                <w:sz w:val="28"/>
                <w:szCs w:val="28"/>
                <w:shd w:val="clear" w:color="auto" w:fill="FFFFFF"/>
              </w:rPr>
              <w:t>9</w:t>
            </w:r>
          </w:p>
        </w:tc>
        <w:tc>
          <w:tcPr>
            <w:tcW w:w="2549" w:type="dxa"/>
          </w:tcPr>
          <w:p w14:paraId="7AF0D4FC" w14:textId="77777777" w:rsidR="00EB6968" w:rsidRPr="00C159C9" w:rsidRDefault="00EB6968" w:rsidP="00020BEF">
            <w:pPr>
              <w:spacing w:line="360" w:lineRule="auto"/>
              <w:textAlignment w:val="baseline"/>
              <w:rPr>
                <w:rFonts w:ascii="Arial" w:hAnsi="Arial" w:cs="Arial"/>
                <w:b/>
                <w:bCs/>
                <w:i/>
                <w:iCs/>
                <w:sz w:val="28"/>
                <w:szCs w:val="28"/>
                <w:shd w:val="clear" w:color="auto" w:fill="FFFFFF"/>
              </w:rPr>
            </w:pPr>
            <w:r w:rsidRPr="00C159C9">
              <w:rPr>
                <w:rFonts w:ascii="Arial" w:hAnsi="Arial" w:cs="Arial"/>
                <w:b/>
                <w:bCs/>
                <w:i/>
                <w:iCs/>
                <w:sz w:val="28"/>
                <w:szCs w:val="28"/>
                <w:shd w:val="clear" w:color="auto" w:fill="FFFFFF"/>
              </w:rPr>
              <w:t>361,211.51</w:t>
            </w:r>
          </w:p>
        </w:tc>
      </w:tr>
      <w:tr w:rsidR="00EB6968" w:rsidRPr="00C159C9" w14:paraId="510EBD19" w14:textId="77777777" w:rsidTr="00020BEF">
        <w:tc>
          <w:tcPr>
            <w:tcW w:w="3116" w:type="dxa"/>
          </w:tcPr>
          <w:p w14:paraId="05BF3B92" w14:textId="77777777" w:rsidR="00EB6968" w:rsidRPr="00C159C9" w:rsidRDefault="00EB6968" w:rsidP="00020BEF">
            <w:pPr>
              <w:spacing w:line="360" w:lineRule="auto"/>
              <w:textAlignment w:val="baseline"/>
              <w:rPr>
                <w:rFonts w:ascii="Arial" w:hAnsi="Arial" w:cs="Arial"/>
                <w:b/>
                <w:bCs/>
                <w:sz w:val="28"/>
                <w:szCs w:val="28"/>
                <w:shd w:val="clear" w:color="auto" w:fill="FFFFFF"/>
              </w:rPr>
            </w:pPr>
            <w:r w:rsidRPr="00C159C9">
              <w:rPr>
                <w:rFonts w:ascii="Arial" w:hAnsi="Arial" w:cs="Arial"/>
                <w:b/>
                <w:bCs/>
                <w:sz w:val="28"/>
                <w:szCs w:val="28"/>
                <w:shd w:val="clear" w:color="auto" w:fill="FFFFFF"/>
              </w:rPr>
              <w:t>20</w:t>
            </w:r>
            <w:r>
              <w:rPr>
                <w:rFonts w:ascii="Arial" w:hAnsi="Arial" w:cs="Arial"/>
                <w:b/>
                <w:bCs/>
                <w:sz w:val="28"/>
                <w:szCs w:val="28"/>
                <w:shd w:val="clear" w:color="auto" w:fill="FFFFFF"/>
              </w:rPr>
              <w:t>20</w:t>
            </w:r>
          </w:p>
        </w:tc>
        <w:tc>
          <w:tcPr>
            <w:tcW w:w="2549" w:type="dxa"/>
          </w:tcPr>
          <w:p w14:paraId="145D0ED5" w14:textId="77777777" w:rsidR="00EB6968" w:rsidRPr="00C159C9" w:rsidRDefault="00EB6968" w:rsidP="00020BEF">
            <w:pPr>
              <w:spacing w:line="360" w:lineRule="auto"/>
              <w:textAlignment w:val="baseline"/>
              <w:rPr>
                <w:rFonts w:ascii="Arial" w:hAnsi="Arial" w:cs="Arial"/>
                <w:b/>
                <w:bCs/>
                <w:i/>
                <w:iCs/>
                <w:sz w:val="28"/>
                <w:szCs w:val="28"/>
                <w:shd w:val="clear" w:color="auto" w:fill="FFFFFF"/>
              </w:rPr>
            </w:pPr>
            <w:r>
              <w:rPr>
                <w:rFonts w:ascii="Arial" w:hAnsi="Arial" w:cs="Arial"/>
                <w:b/>
                <w:bCs/>
                <w:i/>
                <w:iCs/>
                <w:sz w:val="28"/>
                <w:szCs w:val="28"/>
                <w:shd w:val="clear" w:color="auto" w:fill="FFFFFF"/>
              </w:rPr>
              <w:t>335,423.57</w:t>
            </w:r>
          </w:p>
        </w:tc>
      </w:tr>
    </w:tbl>
    <w:p w14:paraId="31D591B2" w14:textId="77777777" w:rsidR="00EB6968" w:rsidRDefault="00EB6968" w:rsidP="004261E9">
      <w:pPr>
        <w:spacing w:after="0" w:line="360" w:lineRule="auto"/>
        <w:rPr>
          <w:rFonts w:ascii="Arial" w:hAnsi="Arial" w:cs="Arial"/>
          <w:bCs/>
          <w:sz w:val="24"/>
          <w:szCs w:val="24"/>
        </w:rPr>
      </w:pPr>
    </w:p>
    <w:p w14:paraId="4F21EFCE" w14:textId="4F86ADBF" w:rsidR="00EB6968" w:rsidRPr="00D20107" w:rsidRDefault="00EB6968" w:rsidP="004261E9">
      <w:pPr>
        <w:spacing w:after="0" w:line="360" w:lineRule="auto"/>
        <w:rPr>
          <w:rFonts w:ascii="Arial" w:hAnsi="Arial" w:cs="Arial"/>
          <w:bCs/>
          <w:sz w:val="24"/>
          <w:szCs w:val="24"/>
        </w:rPr>
      </w:pPr>
      <w:r>
        <w:rPr>
          <w:rFonts w:ascii="Arial" w:hAnsi="Arial" w:cs="Arial"/>
          <w:bCs/>
          <w:sz w:val="24"/>
          <w:szCs w:val="24"/>
        </w:rPr>
        <w:lastRenderedPageBreak/>
        <w:t>In the past, Clearwater Counseling “donated” money to The Door.  The exact amount of the donations has not been tracked well and can only be deduced by random transactions between banking accounts. However, banking and verbal evidence suggests that tens of thousands of dollars have been “donated” to The Door since 2013.</w:t>
      </w:r>
    </w:p>
    <w:p w14:paraId="55EE0324" w14:textId="77777777" w:rsidR="00CF0C19" w:rsidRPr="00CF0C19" w:rsidRDefault="00CF0C19" w:rsidP="004261E9">
      <w:pPr>
        <w:spacing w:after="0" w:line="360" w:lineRule="auto"/>
        <w:rPr>
          <w:rFonts w:ascii="Arial" w:hAnsi="Arial" w:cs="Arial"/>
          <w:bCs/>
          <w:sz w:val="24"/>
          <w:szCs w:val="24"/>
        </w:rPr>
      </w:pPr>
    </w:p>
    <w:p w14:paraId="13FF98A9" w14:textId="6BC6F586" w:rsidR="00824721" w:rsidRDefault="00824721" w:rsidP="004261E9">
      <w:pPr>
        <w:spacing w:after="0" w:line="360" w:lineRule="auto"/>
        <w:rPr>
          <w:rFonts w:ascii="Arial" w:hAnsi="Arial" w:cs="Arial"/>
          <w:b/>
          <w:bCs/>
          <w:sz w:val="24"/>
          <w:szCs w:val="24"/>
        </w:rPr>
      </w:pPr>
      <w:r w:rsidRPr="000F6E58">
        <w:rPr>
          <w:rFonts w:ascii="Arial" w:hAnsi="Arial" w:cs="Arial"/>
          <w:b/>
          <w:bCs/>
          <w:sz w:val="24"/>
          <w:szCs w:val="24"/>
        </w:rPr>
        <w:t>WHY</w:t>
      </w:r>
      <w:r w:rsidR="004261E9" w:rsidRPr="000F6E58">
        <w:rPr>
          <w:rFonts w:ascii="Arial" w:hAnsi="Arial" w:cs="Arial"/>
          <w:b/>
          <w:bCs/>
          <w:sz w:val="24"/>
          <w:szCs w:val="24"/>
        </w:rPr>
        <w:t xml:space="preserve"> ARE THEY NEEDED</w:t>
      </w:r>
      <w:r w:rsidRPr="000F6E58">
        <w:rPr>
          <w:rFonts w:ascii="Arial" w:hAnsi="Arial" w:cs="Arial"/>
          <w:b/>
          <w:bCs/>
          <w:sz w:val="24"/>
          <w:szCs w:val="24"/>
        </w:rPr>
        <w:t>?</w:t>
      </w:r>
    </w:p>
    <w:p w14:paraId="4B3F331C" w14:textId="333CAFEB" w:rsidR="00EB6968" w:rsidRDefault="00EB6968" w:rsidP="004261E9">
      <w:pPr>
        <w:spacing w:after="0" w:line="360" w:lineRule="auto"/>
        <w:rPr>
          <w:rFonts w:ascii="Arial" w:hAnsi="Arial" w:cs="Arial"/>
          <w:bCs/>
          <w:sz w:val="24"/>
          <w:szCs w:val="24"/>
        </w:rPr>
      </w:pPr>
      <w:r>
        <w:rPr>
          <w:rFonts w:ascii="Arial" w:hAnsi="Arial" w:cs="Arial"/>
          <w:bCs/>
          <w:sz w:val="24"/>
          <w:szCs w:val="24"/>
        </w:rPr>
        <w:t xml:space="preserve">The largest provider of mental health services in the </w:t>
      </w:r>
      <w:r w:rsidR="0041339E">
        <w:rPr>
          <w:rFonts w:ascii="Arial" w:hAnsi="Arial" w:cs="Arial"/>
          <w:bCs/>
          <w:sz w:val="24"/>
          <w:szCs w:val="24"/>
        </w:rPr>
        <w:t>state is Alaska Department of Corrections</w:t>
      </w:r>
      <w:r>
        <w:rPr>
          <w:rFonts w:ascii="Arial" w:hAnsi="Arial" w:cs="Arial"/>
          <w:bCs/>
          <w:sz w:val="24"/>
          <w:szCs w:val="24"/>
        </w:rPr>
        <w:t xml:space="preserve">.  Unfortunately, there are minimal, if any, </w:t>
      </w:r>
      <w:r w:rsidR="00C05D18">
        <w:rPr>
          <w:rFonts w:ascii="Arial" w:hAnsi="Arial" w:cs="Arial"/>
          <w:bCs/>
          <w:sz w:val="24"/>
          <w:szCs w:val="24"/>
        </w:rPr>
        <w:t xml:space="preserve">mental health </w:t>
      </w:r>
      <w:r>
        <w:rPr>
          <w:rFonts w:ascii="Arial" w:hAnsi="Arial" w:cs="Arial"/>
          <w:bCs/>
          <w:sz w:val="24"/>
          <w:szCs w:val="24"/>
        </w:rPr>
        <w:t xml:space="preserve">services for </w:t>
      </w:r>
      <w:r w:rsidR="00A44C51">
        <w:rPr>
          <w:rFonts w:ascii="Arial" w:hAnsi="Arial" w:cs="Arial"/>
          <w:bCs/>
          <w:sz w:val="24"/>
          <w:szCs w:val="24"/>
        </w:rPr>
        <w:t>homeless youth or their families. Fairbanks Native Association has developed programming and secured grants for AI/AN populations.  But, that leaves the majority of the population we serve without mental health services.  As the 2021 Annual Report from The Door indicates, nearly 50% of the youth we serve deal with mental illness and 61% come from domestic violence situations.  Therefore, if FYA does not provide some mental health treatment (support groups, mediation, one-on-one, etc.) to those we serve</w:t>
      </w:r>
      <w:r w:rsidR="001505DA">
        <w:rPr>
          <w:rFonts w:ascii="Arial" w:hAnsi="Arial" w:cs="Arial"/>
          <w:bCs/>
          <w:sz w:val="24"/>
          <w:szCs w:val="24"/>
        </w:rPr>
        <w:t>,</w:t>
      </w:r>
      <w:r w:rsidR="00A44C51">
        <w:rPr>
          <w:rFonts w:ascii="Arial" w:hAnsi="Arial" w:cs="Arial"/>
          <w:bCs/>
          <w:sz w:val="24"/>
          <w:szCs w:val="24"/>
        </w:rPr>
        <w:t xml:space="preserve"> they will not receive any mental health assistance…likely until they end up in prison</w:t>
      </w:r>
      <w:r w:rsidR="00860311">
        <w:rPr>
          <w:rFonts w:ascii="Arial" w:hAnsi="Arial" w:cs="Arial"/>
          <w:bCs/>
          <w:sz w:val="24"/>
          <w:szCs w:val="24"/>
        </w:rPr>
        <w:t>.</w:t>
      </w:r>
    </w:p>
    <w:p w14:paraId="5843E6F5" w14:textId="77777777" w:rsidR="00860311" w:rsidRDefault="00860311" w:rsidP="004261E9">
      <w:pPr>
        <w:spacing w:after="0" w:line="360" w:lineRule="auto"/>
        <w:rPr>
          <w:rFonts w:ascii="Arial" w:hAnsi="Arial" w:cs="Arial"/>
          <w:bCs/>
          <w:sz w:val="24"/>
          <w:szCs w:val="24"/>
        </w:rPr>
      </w:pPr>
    </w:p>
    <w:p w14:paraId="61A61661" w14:textId="3B21DE02" w:rsidR="00860311" w:rsidRPr="00EB6968" w:rsidRDefault="00860311" w:rsidP="004261E9">
      <w:pPr>
        <w:spacing w:after="0" w:line="360" w:lineRule="auto"/>
        <w:rPr>
          <w:rFonts w:ascii="Arial" w:hAnsi="Arial" w:cs="Arial"/>
          <w:bCs/>
          <w:sz w:val="24"/>
          <w:szCs w:val="24"/>
        </w:rPr>
      </w:pPr>
      <w:r>
        <w:rPr>
          <w:rFonts w:ascii="Arial" w:hAnsi="Arial" w:cs="Arial"/>
          <w:bCs/>
          <w:sz w:val="24"/>
          <w:szCs w:val="24"/>
        </w:rPr>
        <w:t xml:space="preserve">As mentioned above, the counseling portion of FYA also provides a revenue stream. The exact amount is still unknown, but it is safe to say that </w:t>
      </w:r>
      <w:r w:rsidR="001505DA">
        <w:rPr>
          <w:rFonts w:ascii="Arial" w:hAnsi="Arial" w:cs="Arial"/>
          <w:bCs/>
          <w:sz w:val="24"/>
          <w:szCs w:val="24"/>
        </w:rPr>
        <w:t>operating</w:t>
      </w:r>
      <w:r>
        <w:rPr>
          <w:rFonts w:ascii="Arial" w:hAnsi="Arial" w:cs="Arial"/>
          <w:bCs/>
          <w:sz w:val="24"/>
          <w:szCs w:val="24"/>
        </w:rPr>
        <w:t xml:space="preserve"> the counseling portion of FYA DOES NOT negatively impact the financial bottom line</w:t>
      </w:r>
      <w:r w:rsidR="00C05D18">
        <w:rPr>
          <w:rFonts w:ascii="Arial" w:hAnsi="Arial" w:cs="Arial"/>
          <w:bCs/>
          <w:sz w:val="24"/>
          <w:szCs w:val="24"/>
        </w:rPr>
        <w:t>.  At its worse, it breaks even AND prov</w:t>
      </w:r>
      <w:r w:rsidR="001505DA">
        <w:rPr>
          <w:rFonts w:ascii="Arial" w:hAnsi="Arial" w:cs="Arial"/>
          <w:bCs/>
          <w:sz w:val="24"/>
          <w:szCs w:val="24"/>
        </w:rPr>
        <w:t xml:space="preserve">ides services to homeless youth, </w:t>
      </w:r>
      <w:r w:rsidR="00C05D18">
        <w:rPr>
          <w:rFonts w:ascii="Arial" w:hAnsi="Arial" w:cs="Arial"/>
          <w:bCs/>
          <w:sz w:val="24"/>
          <w:szCs w:val="24"/>
        </w:rPr>
        <w:t>their families</w:t>
      </w:r>
      <w:r w:rsidR="001505DA">
        <w:rPr>
          <w:rFonts w:ascii="Arial" w:hAnsi="Arial" w:cs="Arial"/>
          <w:bCs/>
          <w:sz w:val="24"/>
          <w:szCs w:val="24"/>
        </w:rPr>
        <w:t>, and the community</w:t>
      </w:r>
      <w:r w:rsidR="00C05D18">
        <w:rPr>
          <w:rFonts w:ascii="Arial" w:hAnsi="Arial" w:cs="Arial"/>
          <w:bCs/>
          <w:sz w:val="24"/>
          <w:szCs w:val="24"/>
        </w:rPr>
        <w:t>.  At its best, it generates a healthy revenue stream AND provides services to homeless youth</w:t>
      </w:r>
      <w:r w:rsidR="001505DA">
        <w:rPr>
          <w:rFonts w:ascii="Arial" w:hAnsi="Arial" w:cs="Arial"/>
          <w:bCs/>
          <w:sz w:val="24"/>
          <w:szCs w:val="24"/>
        </w:rPr>
        <w:t xml:space="preserve"> </w:t>
      </w:r>
      <w:r w:rsidR="00C05D18">
        <w:rPr>
          <w:rFonts w:ascii="Arial" w:hAnsi="Arial" w:cs="Arial"/>
          <w:bCs/>
          <w:sz w:val="24"/>
          <w:szCs w:val="24"/>
        </w:rPr>
        <w:t>their families</w:t>
      </w:r>
      <w:r w:rsidR="001505DA">
        <w:rPr>
          <w:rFonts w:ascii="Arial" w:hAnsi="Arial" w:cs="Arial"/>
          <w:bCs/>
          <w:sz w:val="24"/>
          <w:szCs w:val="24"/>
        </w:rPr>
        <w:t>, and the community</w:t>
      </w:r>
      <w:r w:rsidR="00C05D18">
        <w:rPr>
          <w:rFonts w:ascii="Arial" w:hAnsi="Arial" w:cs="Arial"/>
          <w:bCs/>
          <w:sz w:val="24"/>
          <w:szCs w:val="24"/>
        </w:rPr>
        <w:t xml:space="preserve">. </w:t>
      </w:r>
    </w:p>
    <w:p w14:paraId="195BB6B9" w14:textId="6E7D9180" w:rsidR="004261E9" w:rsidRPr="000F6E58" w:rsidRDefault="004261E9" w:rsidP="004261E9">
      <w:pPr>
        <w:shd w:val="clear" w:color="auto" w:fill="FFFFFF"/>
        <w:spacing w:after="0" w:line="360" w:lineRule="auto"/>
        <w:textAlignment w:val="baseline"/>
        <w:rPr>
          <w:rFonts w:ascii="Arial" w:hAnsi="Arial" w:cs="Arial"/>
          <w:sz w:val="24"/>
          <w:szCs w:val="24"/>
          <w:shd w:val="clear" w:color="auto" w:fill="FFFFFF"/>
        </w:rPr>
      </w:pPr>
    </w:p>
    <w:p w14:paraId="2C704EC8" w14:textId="2EA55CFD" w:rsidR="004261E9" w:rsidRDefault="00C05D18" w:rsidP="004261E9">
      <w:pPr>
        <w:spacing w:after="0" w:line="360" w:lineRule="auto"/>
        <w:rPr>
          <w:rFonts w:ascii="Arial" w:hAnsi="Arial" w:cs="Arial"/>
          <w:b/>
          <w:bCs/>
          <w:sz w:val="24"/>
          <w:szCs w:val="24"/>
        </w:rPr>
      </w:pPr>
      <w:r>
        <w:rPr>
          <w:rFonts w:ascii="Arial" w:hAnsi="Arial" w:cs="Arial"/>
          <w:b/>
          <w:bCs/>
          <w:sz w:val="24"/>
          <w:szCs w:val="24"/>
        </w:rPr>
        <w:t>GOALS MOVING FORWARD</w:t>
      </w:r>
      <w:r w:rsidR="0041339E">
        <w:rPr>
          <w:rFonts w:ascii="Arial" w:hAnsi="Arial" w:cs="Arial"/>
          <w:b/>
          <w:bCs/>
          <w:sz w:val="24"/>
          <w:szCs w:val="24"/>
        </w:rPr>
        <w:t xml:space="preserve"> (REQUEST BOARD APPROVAL)</w:t>
      </w:r>
    </w:p>
    <w:p w14:paraId="2817670C" w14:textId="6290FCD7" w:rsidR="00C05D18" w:rsidRPr="00C05D18" w:rsidRDefault="00C05D18" w:rsidP="00C05D18">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 xml:space="preserve">Build-up the counseling portion of FYA to </w:t>
      </w:r>
      <w:r w:rsidR="00454333">
        <w:rPr>
          <w:rFonts w:ascii="Arial" w:hAnsi="Arial" w:cs="Arial"/>
          <w:bCs/>
          <w:sz w:val="24"/>
          <w:szCs w:val="24"/>
        </w:rPr>
        <w:t xml:space="preserve">more closely </w:t>
      </w:r>
      <w:r>
        <w:rPr>
          <w:rFonts w:ascii="Arial" w:hAnsi="Arial" w:cs="Arial"/>
          <w:bCs/>
          <w:sz w:val="24"/>
          <w:szCs w:val="24"/>
        </w:rPr>
        <w:t xml:space="preserve">mirror its </w:t>
      </w:r>
      <w:r w:rsidR="00454333">
        <w:rPr>
          <w:rFonts w:ascii="Arial" w:hAnsi="Arial" w:cs="Arial"/>
          <w:bCs/>
          <w:sz w:val="24"/>
          <w:szCs w:val="24"/>
        </w:rPr>
        <w:t xml:space="preserve">501(c)(3) </w:t>
      </w:r>
      <w:r>
        <w:rPr>
          <w:rFonts w:ascii="Arial" w:hAnsi="Arial" w:cs="Arial"/>
          <w:bCs/>
          <w:sz w:val="24"/>
          <w:szCs w:val="24"/>
        </w:rPr>
        <w:t>purpose</w:t>
      </w:r>
    </w:p>
    <w:p w14:paraId="12A5546F" w14:textId="199C6E97" w:rsidR="00C05D18" w:rsidRPr="0041339E" w:rsidRDefault="00C05D18" w:rsidP="00C05D18">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 xml:space="preserve">Rebrand the counseling center: </w:t>
      </w:r>
      <w:r w:rsidRPr="0017643E">
        <w:rPr>
          <w:rFonts w:ascii="Arial" w:hAnsi="Arial" w:cs="Arial"/>
          <w:b/>
          <w:bCs/>
          <w:sz w:val="24"/>
          <w:szCs w:val="24"/>
        </w:rPr>
        <w:t>Keystone Counseling</w:t>
      </w:r>
      <w:r>
        <w:rPr>
          <w:rFonts w:ascii="Arial" w:hAnsi="Arial" w:cs="Arial"/>
          <w:bCs/>
          <w:sz w:val="24"/>
          <w:szCs w:val="24"/>
        </w:rPr>
        <w:t xml:space="preserve"> (A keystone is “the central stone at the summit of an arch locking the whole together”)</w:t>
      </w:r>
    </w:p>
    <w:p w14:paraId="6B258641" w14:textId="6F40B82B" w:rsidR="00C05D18" w:rsidRPr="00454333" w:rsidRDefault="00C05D18" w:rsidP="00C05D18">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New name, new logo, new colors</w:t>
      </w:r>
      <w:r w:rsidR="00454333">
        <w:rPr>
          <w:rFonts w:ascii="Arial" w:hAnsi="Arial" w:cs="Arial"/>
          <w:bCs/>
          <w:sz w:val="24"/>
          <w:szCs w:val="24"/>
        </w:rPr>
        <w:t>, new website</w:t>
      </w:r>
      <w:r>
        <w:rPr>
          <w:rFonts w:ascii="Arial" w:hAnsi="Arial" w:cs="Arial"/>
          <w:bCs/>
          <w:sz w:val="24"/>
          <w:szCs w:val="24"/>
        </w:rPr>
        <w:t>—locking together both the counseling center and The Door</w:t>
      </w:r>
    </w:p>
    <w:p w14:paraId="3F1A45F7" w14:textId="3C44CBC4" w:rsidR="00454333" w:rsidRPr="00454333" w:rsidRDefault="00454333" w:rsidP="00454333">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 xml:space="preserve">Hire 0.75 </w:t>
      </w:r>
      <w:r w:rsidR="00A461A1">
        <w:rPr>
          <w:rFonts w:ascii="Arial" w:hAnsi="Arial" w:cs="Arial"/>
          <w:bCs/>
          <w:sz w:val="24"/>
          <w:szCs w:val="24"/>
        </w:rPr>
        <w:t>-1.0</w:t>
      </w:r>
      <w:r>
        <w:rPr>
          <w:rFonts w:ascii="Arial" w:hAnsi="Arial" w:cs="Arial"/>
          <w:bCs/>
          <w:sz w:val="24"/>
          <w:szCs w:val="24"/>
        </w:rPr>
        <w:t xml:space="preserve"> FTE </w:t>
      </w:r>
      <w:r w:rsidR="00BC22F1">
        <w:rPr>
          <w:rFonts w:ascii="Arial" w:hAnsi="Arial" w:cs="Arial"/>
          <w:bCs/>
          <w:sz w:val="24"/>
          <w:szCs w:val="24"/>
        </w:rPr>
        <w:t>Behavioral Health Administrative Assistant</w:t>
      </w:r>
      <w:bookmarkStart w:id="0" w:name="_GoBack"/>
      <w:bookmarkEnd w:id="0"/>
      <w:r w:rsidR="001505DA">
        <w:rPr>
          <w:rFonts w:ascii="Arial" w:hAnsi="Arial" w:cs="Arial"/>
          <w:bCs/>
          <w:sz w:val="24"/>
          <w:szCs w:val="24"/>
        </w:rPr>
        <w:t>--</w:t>
      </w:r>
      <w:r>
        <w:rPr>
          <w:rFonts w:ascii="Arial" w:hAnsi="Arial" w:cs="Arial"/>
          <w:bCs/>
          <w:sz w:val="24"/>
          <w:szCs w:val="24"/>
        </w:rPr>
        <w:t xml:space="preserve">requesting to hire Stephanie (volunteered last 6 weeks to clean up </w:t>
      </w:r>
      <w:r>
        <w:rPr>
          <w:rFonts w:ascii="Arial" w:hAnsi="Arial" w:cs="Arial"/>
          <w:bCs/>
          <w:sz w:val="24"/>
          <w:szCs w:val="24"/>
        </w:rPr>
        <w:t>medical billing process &amp; procedure)</w:t>
      </w:r>
    </w:p>
    <w:p w14:paraId="54792162" w14:textId="18775F4D" w:rsidR="00C05D18" w:rsidRPr="00C05D18" w:rsidRDefault="00C05D18" w:rsidP="00C05D18">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Bring Jaime Darcy-Dowler on FT</w:t>
      </w:r>
      <w:r w:rsidR="00454333">
        <w:rPr>
          <w:rFonts w:ascii="Arial" w:hAnsi="Arial" w:cs="Arial"/>
          <w:bCs/>
          <w:sz w:val="24"/>
          <w:szCs w:val="24"/>
        </w:rPr>
        <w:t xml:space="preserve"> AND hire another counselor</w:t>
      </w:r>
    </w:p>
    <w:p w14:paraId="31B1DC4C" w14:textId="605A6E1E" w:rsidR="00C05D18" w:rsidRPr="0017643E" w:rsidRDefault="00C05D18" w:rsidP="00C05D18">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 xml:space="preserve">Begin to </w:t>
      </w:r>
      <w:r w:rsidR="0017643E">
        <w:rPr>
          <w:rFonts w:ascii="Arial" w:hAnsi="Arial" w:cs="Arial"/>
          <w:bCs/>
          <w:sz w:val="24"/>
          <w:szCs w:val="24"/>
        </w:rPr>
        <w:t xml:space="preserve">integrate groups, mediations, forums, one-on-one &amp; family counseling, and other mental health </w:t>
      </w:r>
      <w:r w:rsidR="001505DA">
        <w:rPr>
          <w:rFonts w:ascii="Arial" w:hAnsi="Arial" w:cs="Arial"/>
          <w:bCs/>
          <w:sz w:val="24"/>
          <w:szCs w:val="24"/>
        </w:rPr>
        <w:t>modalities</w:t>
      </w:r>
      <w:r w:rsidR="0017643E">
        <w:rPr>
          <w:rFonts w:ascii="Arial" w:hAnsi="Arial" w:cs="Arial"/>
          <w:bCs/>
          <w:sz w:val="24"/>
          <w:szCs w:val="24"/>
        </w:rPr>
        <w:t xml:space="preserve"> into The Door on a regular basis</w:t>
      </w:r>
    </w:p>
    <w:p w14:paraId="1259932C" w14:textId="664715CE" w:rsidR="000F6E58" w:rsidRPr="001505DA" w:rsidRDefault="0017643E" w:rsidP="0017643E">
      <w:pPr>
        <w:pStyle w:val="ListParagraph"/>
        <w:numPr>
          <w:ilvl w:val="0"/>
          <w:numId w:val="4"/>
        </w:numPr>
        <w:spacing w:after="0" w:line="360" w:lineRule="auto"/>
        <w:rPr>
          <w:rFonts w:ascii="Arial" w:hAnsi="Arial" w:cs="Arial"/>
          <w:b/>
          <w:bCs/>
          <w:sz w:val="24"/>
          <w:szCs w:val="24"/>
        </w:rPr>
      </w:pPr>
      <w:r>
        <w:rPr>
          <w:rFonts w:ascii="Arial" w:hAnsi="Arial" w:cs="Arial"/>
          <w:bCs/>
          <w:sz w:val="24"/>
          <w:szCs w:val="24"/>
        </w:rPr>
        <w:t>Link with UAF and explore offering healthy living skill groups, classes, etc.</w:t>
      </w:r>
    </w:p>
    <w:sectPr w:rsidR="000F6E58" w:rsidRPr="001505DA" w:rsidSect="00BC22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8D2"/>
    <w:multiLevelType w:val="multilevel"/>
    <w:tmpl w:val="58DC5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66034"/>
    <w:multiLevelType w:val="hybridMultilevel"/>
    <w:tmpl w:val="355EAEE8"/>
    <w:lvl w:ilvl="0" w:tplc="6B262FE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C056E"/>
    <w:multiLevelType w:val="hybridMultilevel"/>
    <w:tmpl w:val="0C2C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101FC"/>
    <w:multiLevelType w:val="multilevel"/>
    <w:tmpl w:val="A9E0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MwFiC0NDA2MDYyUdpeDU4uLM/DyQAuNaANDZUv8sAAAA"/>
  </w:docVars>
  <w:rsids>
    <w:rsidRoot w:val="00824721"/>
    <w:rsid w:val="000D2637"/>
    <w:rsid w:val="000F6E58"/>
    <w:rsid w:val="00117CFE"/>
    <w:rsid w:val="001505DA"/>
    <w:rsid w:val="0017643E"/>
    <w:rsid w:val="001A3100"/>
    <w:rsid w:val="001C378D"/>
    <w:rsid w:val="00232163"/>
    <w:rsid w:val="002A3A49"/>
    <w:rsid w:val="003706B8"/>
    <w:rsid w:val="0037777C"/>
    <w:rsid w:val="003D5125"/>
    <w:rsid w:val="0041339E"/>
    <w:rsid w:val="004261E9"/>
    <w:rsid w:val="00454333"/>
    <w:rsid w:val="00460233"/>
    <w:rsid w:val="004D3FA7"/>
    <w:rsid w:val="004F2846"/>
    <w:rsid w:val="005242D2"/>
    <w:rsid w:val="0057455C"/>
    <w:rsid w:val="00586D28"/>
    <w:rsid w:val="006A5210"/>
    <w:rsid w:val="006C1800"/>
    <w:rsid w:val="00700B9E"/>
    <w:rsid w:val="00716D8B"/>
    <w:rsid w:val="00763CC6"/>
    <w:rsid w:val="007742EB"/>
    <w:rsid w:val="007E3A02"/>
    <w:rsid w:val="00804EFC"/>
    <w:rsid w:val="00824721"/>
    <w:rsid w:val="00860311"/>
    <w:rsid w:val="00892977"/>
    <w:rsid w:val="008E7492"/>
    <w:rsid w:val="00990A9E"/>
    <w:rsid w:val="009B3F63"/>
    <w:rsid w:val="00A44C51"/>
    <w:rsid w:val="00A461A1"/>
    <w:rsid w:val="00A54E57"/>
    <w:rsid w:val="00B70ECA"/>
    <w:rsid w:val="00BC22F1"/>
    <w:rsid w:val="00C05D18"/>
    <w:rsid w:val="00C11DC1"/>
    <w:rsid w:val="00C159C9"/>
    <w:rsid w:val="00C53470"/>
    <w:rsid w:val="00C60F99"/>
    <w:rsid w:val="00CF0C19"/>
    <w:rsid w:val="00D13C9A"/>
    <w:rsid w:val="00D20107"/>
    <w:rsid w:val="00EB6968"/>
    <w:rsid w:val="00EB6A20"/>
    <w:rsid w:val="00F55F44"/>
    <w:rsid w:val="00FA7B93"/>
    <w:rsid w:val="00FB56DE"/>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E705"/>
  <w15:chartTrackingRefBased/>
  <w15:docId w15:val="{4CD36DBC-F4BF-48E0-B3DD-61A9783E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824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4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70E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47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47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4721"/>
    <w:rPr>
      <w:color w:val="0000FF"/>
      <w:u w:val="single"/>
    </w:rPr>
  </w:style>
  <w:style w:type="character" w:customStyle="1" w:styleId="font-custom-color-184059">
    <w:name w:val="font-custom-color-#184059"/>
    <w:basedOn w:val="DefaultParagraphFont"/>
    <w:rsid w:val="00F55F44"/>
  </w:style>
  <w:style w:type="character" w:customStyle="1" w:styleId="Heading4Char">
    <w:name w:val="Heading 4 Char"/>
    <w:basedOn w:val="DefaultParagraphFont"/>
    <w:link w:val="Heading4"/>
    <w:uiPriority w:val="9"/>
    <w:semiHidden/>
    <w:rsid w:val="00B70EC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742EB"/>
    <w:pPr>
      <w:ind w:left="720"/>
      <w:contextualSpacing/>
    </w:pPr>
  </w:style>
  <w:style w:type="table" w:styleId="TableGrid">
    <w:name w:val="Table Grid"/>
    <w:basedOn w:val="TableNormal"/>
    <w:uiPriority w:val="39"/>
    <w:rsid w:val="0042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0C19"/>
    <w:rPr>
      <w:color w:val="605E5C"/>
      <w:shd w:val="clear" w:color="auto" w:fill="E1DFDD"/>
    </w:rPr>
  </w:style>
  <w:style w:type="character" w:styleId="FollowedHyperlink">
    <w:name w:val="FollowedHyperlink"/>
    <w:basedOn w:val="DefaultParagraphFont"/>
    <w:uiPriority w:val="99"/>
    <w:semiHidden/>
    <w:unhideWhenUsed/>
    <w:rsid w:val="00CF0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06658">
      <w:bodyDiv w:val="1"/>
      <w:marLeft w:val="0"/>
      <w:marRight w:val="0"/>
      <w:marTop w:val="0"/>
      <w:marBottom w:val="0"/>
      <w:divBdr>
        <w:top w:val="none" w:sz="0" w:space="0" w:color="auto"/>
        <w:left w:val="none" w:sz="0" w:space="0" w:color="auto"/>
        <w:bottom w:val="none" w:sz="0" w:space="0" w:color="auto"/>
        <w:right w:val="none" w:sz="0" w:space="0" w:color="auto"/>
      </w:divBdr>
    </w:div>
    <w:div w:id="667025532">
      <w:bodyDiv w:val="1"/>
      <w:marLeft w:val="0"/>
      <w:marRight w:val="0"/>
      <w:marTop w:val="0"/>
      <w:marBottom w:val="0"/>
      <w:divBdr>
        <w:top w:val="none" w:sz="0" w:space="0" w:color="auto"/>
        <w:left w:val="none" w:sz="0" w:space="0" w:color="auto"/>
        <w:bottom w:val="none" w:sz="0" w:space="0" w:color="auto"/>
        <w:right w:val="none" w:sz="0" w:space="0" w:color="auto"/>
      </w:divBdr>
    </w:div>
    <w:div w:id="726951094">
      <w:bodyDiv w:val="1"/>
      <w:marLeft w:val="0"/>
      <w:marRight w:val="0"/>
      <w:marTop w:val="0"/>
      <w:marBottom w:val="0"/>
      <w:divBdr>
        <w:top w:val="none" w:sz="0" w:space="0" w:color="auto"/>
        <w:left w:val="none" w:sz="0" w:space="0" w:color="auto"/>
        <w:bottom w:val="none" w:sz="0" w:space="0" w:color="auto"/>
        <w:right w:val="none" w:sz="0" w:space="0" w:color="auto"/>
      </w:divBdr>
    </w:div>
    <w:div w:id="800808365">
      <w:bodyDiv w:val="1"/>
      <w:marLeft w:val="0"/>
      <w:marRight w:val="0"/>
      <w:marTop w:val="0"/>
      <w:marBottom w:val="0"/>
      <w:divBdr>
        <w:top w:val="none" w:sz="0" w:space="0" w:color="auto"/>
        <w:left w:val="none" w:sz="0" w:space="0" w:color="auto"/>
        <w:bottom w:val="none" w:sz="0" w:space="0" w:color="auto"/>
        <w:right w:val="none" w:sz="0" w:space="0" w:color="auto"/>
      </w:divBdr>
      <w:divsChild>
        <w:div w:id="1498615633">
          <w:marLeft w:val="0"/>
          <w:marRight w:val="0"/>
          <w:marTop w:val="0"/>
          <w:marBottom w:val="0"/>
          <w:divBdr>
            <w:top w:val="none" w:sz="0" w:space="0" w:color="auto"/>
            <w:left w:val="none" w:sz="0" w:space="0" w:color="auto"/>
            <w:bottom w:val="none" w:sz="0" w:space="0" w:color="auto"/>
            <w:right w:val="none" w:sz="0" w:space="0" w:color="auto"/>
          </w:divBdr>
        </w:div>
      </w:divsChild>
    </w:div>
    <w:div w:id="1347252435">
      <w:bodyDiv w:val="1"/>
      <w:marLeft w:val="0"/>
      <w:marRight w:val="0"/>
      <w:marTop w:val="0"/>
      <w:marBottom w:val="0"/>
      <w:divBdr>
        <w:top w:val="none" w:sz="0" w:space="0" w:color="auto"/>
        <w:left w:val="none" w:sz="0" w:space="0" w:color="auto"/>
        <w:bottom w:val="none" w:sz="0" w:space="0" w:color="auto"/>
        <w:right w:val="none" w:sz="0" w:space="0" w:color="auto"/>
      </w:divBdr>
    </w:div>
    <w:div w:id="1437867639">
      <w:bodyDiv w:val="1"/>
      <w:marLeft w:val="0"/>
      <w:marRight w:val="0"/>
      <w:marTop w:val="0"/>
      <w:marBottom w:val="0"/>
      <w:divBdr>
        <w:top w:val="none" w:sz="0" w:space="0" w:color="auto"/>
        <w:left w:val="none" w:sz="0" w:space="0" w:color="auto"/>
        <w:bottom w:val="none" w:sz="0" w:space="0" w:color="auto"/>
        <w:right w:val="none" w:sz="0" w:space="0" w:color="auto"/>
      </w:divBdr>
    </w:div>
    <w:div w:id="1623925517">
      <w:bodyDiv w:val="1"/>
      <w:marLeft w:val="0"/>
      <w:marRight w:val="0"/>
      <w:marTop w:val="0"/>
      <w:marBottom w:val="0"/>
      <w:divBdr>
        <w:top w:val="none" w:sz="0" w:space="0" w:color="auto"/>
        <w:left w:val="none" w:sz="0" w:space="0" w:color="auto"/>
        <w:bottom w:val="none" w:sz="0" w:space="0" w:color="auto"/>
        <w:right w:val="none" w:sz="0" w:space="0" w:color="auto"/>
      </w:divBdr>
    </w:div>
    <w:div w:id="1968856318">
      <w:bodyDiv w:val="1"/>
      <w:marLeft w:val="0"/>
      <w:marRight w:val="0"/>
      <w:marTop w:val="0"/>
      <w:marBottom w:val="0"/>
      <w:divBdr>
        <w:top w:val="none" w:sz="0" w:space="0" w:color="auto"/>
        <w:left w:val="none" w:sz="0" w:space="0" w:color="auto"/>
        <w:bottom w:val="none" w:sz="0" w:space="0" w:color="auto"/>
        <w:right w:val="none" w:sz="0" w:space="0" w:color="auto"/>
      </w:divBdr>
      <w:divsChild>
        <w:div w:id="122017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merce.alaska.gov/cbp/main/search/ent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Gaskins</dc:creator>
  <cp:keywords/>
  <dc:description/>
  <cp:lastModifiedBy>Brian Taylor</cp:lastModifiedBy>
  <cp:revision>2</cp:revision>
  <cp:lastPrinted>2022-01-25T23:59:00Z</cp:lastPrinted>
  <dcterms:created xsi:type="dcterms:W3CDTF">2022-01-26T00:35:00Z</dcterms:created>
  <dcterms:modified xsi:type="dcterms:W3CDTF">2022-01-26T00:35:00Z</dcterms:modified>
</cp:coreProperties>
</file>